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471E8">
      <w:pPr>
        <w:keepNext w:val="0"/>
        <w:keepLines w:val="0"/>
        <w:widowControl/>
        <w:numPr>
          <w:ilvl w:val="0"/>
          <w:numId w:val="1"/>
        </w:numPr>
        <w:suppressLineNumbers w:val="0"/>
        <w:spacing w:line="360" w:lineRule="auto"/>
        <w:ind w:firstLine="883" w:firstLineChars="200"/>
        <w:jc w:val="both"/>
        <w:rPr>
          <w:rFonts w:hint="eastAsia" w:ascii="Times New Roman" w:hAnsi="Times New Roman" w:eastAsia="宋体" w:cs="宋体"/>
          <w:b/>
          <w:bCs/>
          <w:color w:val="auto"/>
          <w:kern w:val="0"/>
          <w:sz w:val="44"/>
          <w:szCs w:val="44"/>
          <w:lang w:val="en-US" w:eastAsia="zh-CN" w:bidi="ar"/>
        </w:rPr>
      </w:pPr>
      <w:r>
        <w:rPr>
          <w:rFonts w:hint="eastAsia" w:ascii="Times New Roman" w:hAnsi="Times New Roman" w:eastAsia="宋体" w:cs="宋体"/>
          <w:b/>
          <w:bCs/>
          <w:color w:val="auto"/>
          <w:kern w:val="0"/>
          <w:sz w:val="44"/>
          <w:szCs w:val="44"/>
          <w:lang w:val="en-US" w:eastAsia="zh-CN" w:bidi="ar"/>
        </w:rPr>
        <w:t xml:space="preserve"> 以容量管理为核心的心肾</w:t>
      </w:r>
    </w:p>
    <w:p w14:paraId="39731458">
      <w:pPr>
        <w:keepNext w:val="0"/>
        <w:keepLines w:val="0"/>
        <w:widowControl/>
        <w:numPr>
          <w:numId w:val="0"/>
        </w:numPr>
        <w:suppressLineNumbers w:val="0"/>
        <w:spacing w:line="360" w:lineRule="auto"/>
        <w:ind w:firstLine="3534" w:firstLineChars="800"/>
        <w:jc w:val="both"/>
        <w:rPr>
          <w:rFonts w:hint="eastAsia" w:ascii="Times New Roman" w:hAnsi="Times New Roman" w:eastAsia="宋体" w:cs="宋体"/>
          <w:b/>
          <w:bCs/>
          <w:color w:val="auto"/>
          <w:kern w:val="0"/>
          <w:sz w:val="44"/>
          <w:szCs w:val="44"/>
          <w:lang w:val="en-US" w:eastAsia="zh-CN" w:bidi="ar"/>
        </w:rPr>
      </w:pPr>
      <w:r>
        <w:rPr>
          <w:rFonts w:hint="eastAsia" w:ascii="Times New Roman" w:hAnsi="Times New Roman" w:eastAsia="宋体" w:cs="宋体"/>
          <w:b/>
          <w:bCs/>
          <w:color w:val="auto"/>
          <w:kern w:val="0"/>
          <w:sz w:val="44"/>
          <w:szCs w:val="44"/>
          <w:lang w:val="en-US" w:eastAsia="zh-CN" w:bidi="ar"/>
        </w:rPr>
        <w:t>综合征护理实践</w:t>
      </w:r>
    </w:p>
    <w:p w14:paraId="5E2B59EB">
      <w:pPr>
        <w:keepNext w:val="0"/>
        <w:keepLines w:val="0"/>
        <w:widowControl/>
        <w:suppressLineNumbers w:val="0"/>
        <w:spacing w:line="360" w:lineRule="auto"/>
        <w:ind w:firstLine="560" w:firstLineChars="200"/>
        <w:jc w:val="both"/>
        <w:rPr>
          <w:rFonts w:hint="eastAsia" w:ascii="仿宋_GB2312" w:hAnsi="仿宋_GB2312" w:eastAsia="仿宋_GB2312" w:cs="仿宋_GB2312"/>
          <w:color w:val="auto"/>
          <w:kern w:val="0"/>
          <w:sz w:val="28"/>
          <w:szCs w:val="28"/>
          <w:lang w:val="en-US" w:eastAsia="zh-CN" w:bidi="ar"/>
        </w:rPr>
      </w:pPr>
      <w:r>
        <w:rPr>
          <w:rFonts w:hint="eastAsia" w:ascii="仿宋_GB2312" w:hAnsi="仿宋_GB2312" w:eastAsia="仿宋_GB2312" w:cs="仿宋_GB2312"/>
          <w:color w:val="auto"/>
          <w:kern w:val="0"/>
          <w:sz w:val="28"/>
          <w:szCs w:val="28"/>
          <w:lang w:val="en-US" w:eastAsia="zh-CN" w:bidi="ar"/>
        </w:rPr>
        <w:t>福州大学附属省立医院 曹芳  福建中医药大学护理学院  郑文慧</w:t>
      </w:r>
    </w:p>
    <w:p w14:paraId="33195BE3">
      <w:pPr>
        <w:keepNext w:val="0"/>
        <w:keepLines w:val="0"/>
        <w:widowControl/>
        <w:suppressLineNumbers w:val="0"/>
        <w:spacing w:line="360" w:lineRule="auto"/>
        <w:jc w:val="both"/>
        <w:rPr>
          <w:rFonts w:hint="eastAsia" w:ascii="Times New Roman" w:hAnsi="Times New Roman" w:eastAsia="宋体" w:cs="宋体"/>
          <w:color w:val="auto"/>
          <w:kern w:val="0"/>
          <w:sz w:val="24"/>
          <w:szCs w:val="24"/>
          <w:lang w:val="en-US" w:eastAsia="zh-CN" w:bidi="ar"/>
        </w:rPr>
      </w:pPr>
    </w:p>
    <w:p w14:paraId="24829CCE">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心肾综合征（Cardiorenal Syndrome，CRS）在临床相当常见。据统计，在充血性心力衰竭患者中，超过65%存在高容量状况。CRS是指心脏或肾脏其中一个器官的急性或慢性功能障碍，导致另一个器官发生急性或慢性功能损害的临床综合征。这种“心”与“肾”相互影响、互为因果的关系，常形成治疗的恶性循环，临床表现为心力衰竭与肾衰竭症状的混合体。</w:t>
      </w:r>
    </w:p>
    <w:p w14:paraId="364CFE55">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根据起病急缓和原发受损器官，CRS分为五型：①I型（急性心肾综合征）：由急性心脏损伤（如急性失代偿性心力衰竭、急性冠脉综合征、心脏术后）导致急性肾损伤。血流动力学异常、炎症反应和氧化应激是其主要发病机制，治疗核心在于恢复心脏功能和缓解容量负荷。②II型（慢性心肾综合征）：由慢性心力衰竭导致CKD。其机制涉及慢性肾灌注不足、神经激素过度激活及静脉充血等。③III型（急性肾心综合征）：由急性肾损伤导致急性心脏损伤。容量过载、电解质紊乱、炎症及代谢性酸中毒等是连接肾损伤与心功能不全的桥梁。④IV型（慢性肾心综合征）：由慢性肾脏病（CKD）导致心脏功能不全和心血管疾病。除容量超负荷外，尿毒症毒素蓄积、炎症反应、氧化应激、高磷血症等是导致心肌损害的关键因素。⑤V型（继发性心肾综合征）：由全身系统性疾病（如脓毒症、糖尿病、自身免疫病等）同时引发心脏和肾脏损伤。在CKD患者群体中，IV型CRS的患病率高达76.25%。此外，CKD是心血管疾病最重要的危险因素之一，其患者的心血管病发病率和死亡率显著升高。</w:t>
      </w:r>
    </w:p>
    <w:p w14:paraId="334B7FCE">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近年来，《心肾综合征诊疗的临床实践指南（2023版）》指出，护理在CRS患者管理中起到关键性支持作用，其中容量管理是CRS患者整体治疗和护理的核心。</w:t>
      </w:r>
      <w:r>
        <w:rPr>
          <w:rFonts w:hint="eastAsia" w:ascii="仿宋_GB2312" w:hAnsi="仿宋_GB2312" w:eastAsia="仿宋_GB2312" w:cs="仿宋_GB2312"/>
          <w:b w:val="0"/>
          <w:bCs w:val="0"/>
          <w:color w:val="auto"/>
          <w:kern w:val="0"/>
          <w:sz w:val="32"/>
          <w:szCs w:val="32"/>
          <w:lang w:val="en-US" w:eastAsia="zh-CN" w:bidi="ar"/>
        </w:rPr>
        <w:t>护士应积极协调患者随访期间的资源调配并促进患者自我管理。为促进疾病全生命周期管理，护理人员应加强容量管理相关的专业培训，提升风险识别能力、复杂症状管理能力、多学科协作能力，并全面评估疾病负担，推动护理方案的临床转化，从而降低CRS复发风险，提高患者生活质量，延长生存期。</w:t>
      </w:r>
    </w:p>
    <w:p w14:paraId="0B7710AA">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基于容量管理的CRS患者护理实践，强调以客观临床指标为基础，结合系统性体格检查，确定适宜的容量水平，既要避免容量超负荷加重器官淤血，也要防止过度脱水导致器官低灌注损伤。以下从入院评估、病情监测、容量动态评估、用药护理、心理护理、营养支持、健康教育七个维度展开阐述。</w:t>
      </w:r>
    </w:p>
    <w:p w14:paraId="7660C6D9">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一、入院评估：</w:t>
      </w:r>
      <w:r>
        <w:rPr>
          <w:rFonts w:hint="eastAsia" w:ascii="仿宋_GB2312" w:hAnsi="仿宋_GB2312" w:eastAsia="仿宋_GB2312" w:cs="仿宋_GB2312"/>
          <w:b w:val="0"/>
          <w:bCs w:val="0"/>
          <w:color w:val="auto"/>
          <w:kern w:val="0"/>
          <w:sz w:val="32"/>
          <w:szCs w:val="32"/>
          <w:lang w:val="en-US" w:eastAsia="zh-CN" w:bidi="ar"/>
        </w:rPr>
        <w:t>护理人员应通过系统、全面的病史采集，重点追溯心、肾两器官功能损害的起始原因，为CRS临床分型及病情分级提供依据。具体包括：</w:t>
      </w:r>
    </w:p>
    <w:p w14:paraId="0AEF07BE">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1.病因追溯：询问既往心脏病史（高血压、冠心病、心力衰竭）、肾脏病史（肾小球肾炎、糖尿病肾病）、系统性疾病（糖尿病、自身免疫病）及诱发因素（感染、药物、容量负荷过重）。</w:t>
      </w:r>
    </w:p>
    <w:p w14:paraId="1C11B037">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2.预警事件识别：重点询问入院前有无晕厥、严重心律失常、呼吸困难加重、尿量骤减等心肾功能急性恶化的预警信号。</w:t>
      </w:r>
    </w:p>
    <w:p w14:paraId="517071C3">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3.营养状况评估：采用营养风险筛查量表（如NRS 2002）评估患者营养风险，结合进食能力、体重变化、血清白蛋白水平，为制定个体化营养支持方案提供依据。</w:t>
      </w:r>
    </w:p>
    <w:p w14:paraId="3F74C16A">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二、病情监测：</w:t>
      </w:r>
      <w:r>
        <w:rPr>
          <w:rFonts w:hint="eastAsia" w:ascii="仿宋_GB2312" w:hAnsi="仿宋_GB2312" w:eastAsia="仿宋_GB2312" w:cs="仿宋_GB2312"/>
          <w:b w:val="0"/>
          <w:bCs w:val="0"/>
          <w:color w:val="auto"/>
          <w:kern w:val="0"/>
          <w:sz w:val="32"/>
          <w:szCs w:val="32"/>
          <w:lang w:val="en-US" w:eastAsia="zh-CN" w:bidi="ar"/>
        </w:rPr>
        <w:t>护理人员需通过持续心电监护，动态监测血压、心率、呼吸、血氧饱和度（维持SpO~2~在92%～94%目标范围）、意识状态及尿量，同时密切追踪电解质（钾、钠、钙）与肾功能（肌酐、尿素氮）的波动，以警惕恶性心律失常及肾损伤的进展。在临床观察中，应重点关注头晕、黑矇、胸闷、气促、水肿等心肾失代偿表现，及时发现晕厥、低血压等先兆事件。此外，指导患者采取半坐卧位以减轻心脏负荷，定时协助更换体位、按摩受压部位，并鼓励适当活动，从而有效预防并发症，促进功能恢复。</w:t>
      </w:r>
    </w:p>
    <w:p w14:paraId="4708FC9C">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三、容量动态评估和监测：</w:t>
      </w:r>
      <w:r>
        <w:rPr>
          <w:rFonts w:hint="eastAsia" w:ascii="仿宋_GB2312" w:hAnsi="仿宋_GB2312" w:eastAsia="仿宋_GB2312" w:cs="仿宋_GB2312"/>
          <w:b w:val="0"/>
          <w:bCs w:val="0"/>
          <w:color w:val="auto"/>
          <w:kern w:val="0"/>
          <w:sz w:val="32"/>
          <w:szCs w:val="32"/>
          <w:lang w:val="en-US" w:eastAsia="zh-CN" w:bidi="ar"/>
        </w:rPr>
        <w:t>容量管理是CRS患者护理的核心，目标是维持适宜容量负荷。</w:t>
      </w:r>
    </w:p>
    <w:p w14:paraId="2E518D3F">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（一）容量监测</w:t>
      </w:r>
    </w:p>
    <w:p w14:paraId="4BEBFD9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1.记录内容：准确记录24小时尿量、超滤量、饮水量、食物含水量、静脉输液量输液控制：输液速度控制在60 ml/h左右，避免过快加重心脏负担</w:t>
      </w:r>
    </w:p>
    <w:p w14:paraId="55BC01C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2.尿量目标：维持尿量1500-2500 ml/d，尿量&lt;1000 ml/d或&lt;0.5 ml/kg/h持续6小时需报告医生。</w:t>
      </w:r>
    </w:p>
    <w:p w14:paraId="3159119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3.体重测量方法：每日晨起空腹、排尿后、同一体重秤测量。体重下降&gt;1 kg/d且伴血压偏低、口干提示容量不足。</w:t>
      </w:r>
    </w:p>
    <w:p w14:paraId="168E974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4.症状观察：观察患者有无以下症状：心衰症状（呼吸困难、夜间阵发性呼吸困难、端坐呼吸、咳嗽咳泡沫痰）；肾衰症状（尿量减少、水肿加重、恶心呕吐、食欲减退）；预警症状（头晕、黑矇、胸闷、胸痛、晕厥）。出现以上症状时及时与医生沟通进行干预。</w:t>
      </w:r>
    </w:p>
    <w:p w14:paraId="046B3437">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（二）活动与休息护理</w:t>
      </w:r>
    </w:p>
    <w:p w14:paraId="6A8E2C7C">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1.体位管理：指导患者采取半坐卧位或坐位，减轻心脏负荷，改善呼吸困难</w:t>
      </w:r>
    </w:p>
    <w:p w14:paraId="3CA5AD5D">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2.活动指导：病情稳定期鼓励床上活动或床边活动，协助定时翻身，预防压力性损伤和深静脉血栓。</w:t>
      </w:r>
    </w:p>
    <w:p w14:paraId="19E97E8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0000FF"/>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每日评估双下肢、足踝、腰骶部水肿程度、性质及范围。下肢水肿时抬高下肢20-30度，促进静脉回流，避免长时间站立或久坐，定时变换体位，避免长时间受压引起皮肤压力性损伤。穿宽松柔软衣物，保持皮肤清洁干燥，阴囊水肿患者使用阴囊托，减轻坠胀感。</w:t>
      </w:r>
    </w:p>
    <w:p w14:paraId="1F84A16D">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（三）饮食指导</w:t>
      </w:r>
    </w:p>
    <w:p w14:paraId="105AAA5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1.钠摄入：容量及血压控制达标者，避免高钠食物（咸菜、腊肉、加工食品）。</w:t>
      </w:r>
    </w:p>
    <w:p w14:paraId="5FE4C61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2.液体摄入：每日液体摄入量=前日尿量+前日超滤量+500 ml（不显性失水）。</w:t>
      </w:r>
    </w:p>
    <w:p w14:paraId="7812E8D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使用带刻度水杯，分次饮水，含冰块、柠檬片可缓解口渴。</w:t>
      </w:r>
    </w:p>
    <w:p w14:paraId="73CD2133">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（四）血液净化治疗护理</w:t>
      </w:r>
    </w:p>
    <w:p w14:paraId="1266FE15">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1.超滤率控制：严格控制超滤率，避免过快（一般&lt;500 ml/h）导致低血压或肾灌注不足。</w:t>
      </w:r>
    </w:p>
    <w:p w14:paraId="44D4E9B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透析间期管理：强化液体入量控制，两次透析间期体重增加&lt;干体重的3%-5%。每次随访时评估容量状态（体重、血压、水肿、超滤量），至少每半年评估一次患者容量管理知识及行为水平。医务人员应根据容量变化、血压及实验室指标，及时调整透析处方及药物。针对腹膜透析患者，应强调居家培训及管理。</w:t>
      </w:r>
    </w:p>
    <w:p w14:paraId="615AFC1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3.治疗中监测：持续监测血压、心率，出现低血压时减慢超滤、抬高下肢、遵医嘱补液。</w:t>
      </w:r>
    </w:p>
    <w:p w14:paraId="690EF95D">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（五）综合容量评估</w:t>
      </w:r>
    </w:p>
    <w:p w14:paraId="37584698">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整合多维指标如综合血压、体重、水肿程度、尿量、超滤量、BNP水平判断容量状态，发现容量异常及时与医疗组沟通，调整透析处方和药物治疗方案。</w:t>
      </w:r>
    </w:p>
    <w:p w14:paraId="0621FF8F">
      <w:pPr>
        <w:keepNext w:val="0"/>
        <w:keepLines w:val="0"/>
        <w:pageBreakBefore w:val="0"/>
        <w:widowControl/>
        <w:numPr>
          <w:ilvl w:val="0"/>
          <w:numId w:val="2"/>
        </w:numPr>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用药护理：</w:t>
      </w:r>
      <w:r>
        <w:rPr>
          <w:rFonts w:hint="eastAsia" w:ascii="仿宋_GB2312" w:hAnsi="仿宋_GB2312" w:eastAsia="仿宋_GB2312" w:cs="仿宋_GB2312"/>
          <w:b w:val="0"/>
          <w:bCs w:val="0"/>
          <w:color w:val="auto"/>
          <w:kern w:val="0"/>
          <w:sz w:val="32"/>
          <w:szCs w:val="32"/>
          <w:lang w:val="en-US" w:eastAsia="zh-CN" w:bidi="ar"/>
        </w:rPr>
        <w:t>精细化的用药护理是保障CRS患者治疗安全、延缓疾病进展的关键环节。</w:t>
      </w:r>
    </w:p>
    <w:p w14:paraId="29DBCE71">
      <w:pPr>
        <w:keepNext w:val="0"/>
        <w:keepLines w:val="0"/>
        <w:pageBreakBefore w:val="0"/>
        <w:widowControl/>
        <w:numPr>
          <w:ilvl w:val="0"/>
          <w:numId w:val="3"/>
        </w:numPr>
        <w:suppressLineNumbers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动态调整利尿剂：</w:t>
      </w:r>
    </w:p>
    <w:p w14:paraId="42A089F2">
      <w:pPr>
        <w:keepNext w:val="0"/>
        <w:keepLines w:val="0"/>
        <w:pageBreakBefore w:val="0"/>
        <w:widowControl/>
        <w:numPr>
          <w:ilvl w:val="0"/>
          <w:numId w:val="4"/>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剂量调整依据：用药前评估：评估尿量、水肿程度、体重、血压、电解质水平，根据以上体征评估利尿效果，动态调整呋塞剂量（常用20-40 mg，每日三次）。防止电解质紊乱需同步监测电解质，重点监测血钾（警惕高钾血症&gt;5.5 mmol/L）、血钠、血钙。肾功能：血肌酐、尿素氮。心功能指标：BNP/NT-proBNP水平反映容量负荷。观察利尿剂抵抗表现（容量超负荷持续存在但尿量不增）。</w:t>
      </w:r>
    </w:p>
    <w:p w14:paraId="6CC949B4">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（二）强心药护理（洋地黄类）：</w:t>
      </w:r>
    </w:p>
    <w:p w14:paraId="6138DF86">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定期监测血药浓度，出现中毒先兆立即停药并报告医生，识别药物蓄积风险：视觉异常（黄视、绿视、视力模糊）；消化道症状（恶心、呕吐、食欲减退）；</w:t>
      </w:r>
      <w:r>
        <w:rPr>
          <w:rFonts w:hint="eastAsia" w:ascii="仿宋_GB2312" w:hAnsi="仿宋_GB2312" w:eastAsia="仿宋_GB2312" w:cs="仿宋_GB2312"/>
          <w:b/>
          <w:bCs/>
          <w:color w:val="auto"/>
          <w:kern w:val="0"/>
          <w:sz w:val="32"/>
          <w:szCs w:val="32"/>
          <w:lang w:val="en-US" w:eastAsia="zh-CN" w:bidi="ar"/>
        </w:rPr>
        <w:t>心律失常。</w:t>
      </w:r>
    </w:p>
    <w:p w14:paraId="294AB683">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321" w:firstLineChars="1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（三）其他药物：</w:t>
      </w:r>
    </w:p>
    <w:p w14:paraId="2065BBBC">
      <w:pPr>
        <w:keepNext w:val="0"/>
        <w:keepLines w:val="0"/>
        <w:pageBreakBefore w:val="0"/>
        <w:widowControl/>
        <w:numPr>
          <w:ilvl w:val="0"/>
          <w:numId w:val="0"/>
        </w:numPr>
        <w:suppressLineNumbers w:val="0"/>
        <w:kinsoku/>
        <w:wordWrap/>
        <w:overflowPunct/>
        <w:topLinePunct w:val="0"/>
        <w:autoSpaceDE/>
        <w:autoSpaceDN/>
        <w:bidi w:val="0"/>
        <w:adjustRightInd/>
        <w:snapToGrid/>
        <w:spacing w:line="590" w:lineRule="exact"/>
        <w:ind w:firstLine="320" w:firstLineChars="1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应用RAS抑制剂（普利/沙坦类）初期，应密切监测血肌酐与血钾水平，防止肾功能急性恶化及高钾血症。此外，在静脉输注血管活性药物（如多巴胺、硝普钠等）时，需精确控制滴速与剂量，持续监测血压及心率变化，确保血流动力学稳定。综上所述，</w:t>
      </w:r>
    </w:p>
    <w:p w14:paraId="56DE78BB">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五、心理护理：</w:t>
      </w:r>
      <w:r>
        <w:rPr>
          <w:rFonts w:hint="eastAsia" w:ascii="仿宋_GB2312" w:hAnsi="仿宋_GB2312" w:eastAsia="仿宋_GB2312" w:cs="仿宋_GB2312"/>
          <w:color w:val="auto"/>
          <w:kern w:val="0"/>
          <w:sz w:val="32"/>
          <w:szCs w:val="32"/>
          <w:lang w:val="en-US" w:eastAsia="zh-CN" w:bidi="ar"/>
        </w:rPr>
        <w:t>护理人员首先应通过主动倾听患者对晕厥、呼吸困难等不适的恐惧体验，建立基于共情与理解的信任型护患关系。面对病程迁延反复带来的焦虑与无助，护士需以接纳的态度引导患者正视疾病，并通过持续性的健康教育，将透析治疗与心力衰竭协同治理的意义转化为患者可感知的体征改善（如水肿消退、体重稳定、气促缓解），从而将抽象的疗效指标具象化。同时，应敏锐捕捉患者在饮食控制、用药依从、出入量记录等自我管理中的每一点进步，并给予及时肯定与正向反馈，帮助其重建疾病掌控感。此外，积极赋能家庭支持系统，指导家属参与监督与情感鼓励，从而全面提升患者的治疗依从性与生活质量。</w:t>
      </w:r>
    </w:p>
    <w:p w14:paraId="40980803">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六、营养支持：</w:t>
      </w:r>
      <w:r>
        <w:rPr>
          <w:rFonts w:hint="eastAsia" w:ascii="仿宋_GB2312" w:hAnsi="仿宋_GB2312" w:eastAsia="仿宋_GB2312" w:cs="仿宋_GB2312"/>
          <w:color w:val="auto"/>
          <w:kern w:val="0"/>
          <w:sz w:val="32"/>
          <w:szCs w:val="32"/>
          <w:lang w:val="en-US" w:eastAsia="zh-CN" w:bidi="ar"/>
        </w:rPr>
        <w:t>护理人员需与营养科协作，根据患者的代谢性疾病类型、肾病分期及肾脏替代治疗方式，共同制定个体化的饮食方案，确保优质蛋白、高维生素且易于消化的营养摄入。在营养补充方面，应依据患者的病情及进食能力选择适宜途径，必要时予以口服营养补充或个体化肠内营养液。为评估营养支持效果，应定期复查总蛋白、白蛋白、前白蛋白及血红蛋白等指标，动态调整营养方案，从而改善患者预后。</w:t>
      </w:r>
    </w:p>
    <w:p w14:paraId="74AF4101">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七、健康教育：</w:t>
      </w:r>
      <w:r>
        <w:rPr>
          <w:rFonts w:hint="eastAsia" w:ascii="仿宋_GB2312" w:hAnsi="仿宋_GB2312" w:eastAsia="仿宋_GB2312" w:cs="仿宋_GB2312"/>
          <w:b w:val="0"/>
          <w:bCs w:val="0"/>
          <w:color w:val="auto"/>
          <w:kern w:val="0"/>
          <w:sz w:val="32"/>
          <w:szCs w:val="32"/>
          <w:lang w:val="en-US" w:eastAsia="zh-CN" w:bidi="ar"/>
        </w:rPr>
        <w:t>护理人员应向患者及家属系统讲解心肾共病的病因机制、治疗目标及自我管理要点，帮助其理解疾病本质。针对选择腹膜透析替代治疗的患者，需教会透析换液、常见并发症处理及出口护理等操作技能，确保出院前家属能够独立规范完成；对于合并糖尿病的患者，还需指导胰岛素注射技术。在日常生活管理方面，应培训患者准确记录每日水盐摄入量、尿量、超滤量、血压及体重，使其理解限盐限水的重要性并掌握实用技巧。同时，需详细说明利尿剂、强心药、降压药等药物的作用及注意事项，强调严格遵医嘱用药、不可自行调整剂量，通过多维度的健康教育赋能患者与家庭，提升治疗依从性与自我管理能力。</w:t>
      </w:r>
    </w:p>
    <w:p w14:paraId="284064D8">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p>
    <w:p w14:paraId="0C5FE85E">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p>
    <w:p w14:paraId="258F3C7D">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p>
    <w:p w14:paraId="218D7CC5">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p>
    <w:p w14:paraId="043123A1">
      <w:pPr>
        <w:keepNext w:val="0"/>
        <w:keepLines w:val="0"/>
        <w:pageBreakBefore w:val="0"/>
        <w:widowControl/>
        <w:suppressLineNumbers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color w:val="auto"/>
          <w:kern w:val="0"/>
          <w:sz w:val="32"/>
          <w:szCs w:val="32"/>
          <w:lang w:val="en-US" w:eastAsia="zh-CN" w:bidi="ar"/>
        </w:rPr>
      </w:pPr>
    </w:p>
    <w:p w14:paraId="264D7DD2">
      <w:pPr>
        <w:keepNext w:val="0"/>
        <w:keepLines w:val="0"/>
        <w:pageBreakBefore w:val="0"/>
        <w:widowControl/>
        <w:suppressLineNumbers w:val="0"/>
        <w:kinsoku/>
        <w:wordWrap/>
        <w:overflowPunct/>
        <w:topLinePunct w:val="0"/>
        <w:autoSpaceDE/>
        <w:autoSpaceDN/>
        <w:bidi w:val="0"/>
        <w:adjustRightInd/>
        <w:snapToGrid/>
        <w:spacing w:line="590" w:lineRule="exact"/>
        <w:jc w:val="both"/>
        <w:textAlignment w:val="auto"/>
        <w:rPr>
          <w:rFonts w:hint="default" w:ascii="仿宋_GB2312" w:hAnsi="仿宋_GB2312" w:eastAsia="仿宋_GB2312" w:cs="仿宋_GB2312"/>
          <w:b/>
          <w:bCs/>
          <w:color w:val="auto"/>
          <w:kern w:val="0"/>
          <w:sz w:val="32"/>
          <w:szCs w:val="32"/>
          <w:lang w:val="en-US" w:eastAsia="zh-CN" w:bidi="ar"/>
        </w:rPr>
      </w:pPr>
      <w:r>
        <w:rPr>
          <w:rFonts w:hint="eastAsia" w:ascii="仿宋_GB2312" w:hAnsi="仿宋_GB2312" w:eastAsia="仿宋_GB2312" w:cs="仿宋_GB2312"/>
          <w:b/>
          <w:bCs/>
          <w:color w:val="auto"/>
          <w:kern w:val="0"/>
          <w:sz w:val="32"/>
          <w:szCs w:val="32"/>
          <w:lang w:val="en-US" w:eastAsia="zh-CN" w:bidi="ar"/>
        </w:rPr>
        <w:t>附单项选择题（1-10题）</w:t>
      </w:r>
    </w:p>
    <w:p w14:paraId="11B24070">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1.CRS患者入院评估阶段，下列哪项属于护理人员需要收集的信息？（ ）</w:t>
      </w:r>
    </w:p>
    <w:p w14:paraId="4DF62BD7">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A.心肾重叠损伤的初始原因</w:t>
      </w:r>
    </w:p>
    <w:p w14:paraId="710E311A">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B.入院前晕厥、心律失常等事件</w:t>
      </w:r>
    </w:p>
    <w:p w14:paraId="729FCA49">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C.营养状况及进食能力</w:t>
      </w:r>
    </w:p>
    <w:p w14:paraId="1D93D373">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69324341">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2.关于利尿剂的用药护理，下列描述正确的是（ ）。</w:t>
      </w:r>
    </w:p>
    <w:p w14:paraId="1D65939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A.严格记录尿量及体重变化</w:t>
      </w:r>
    </w:p>
    <w:p w14:paraId="5EF3429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B.动态监测血清钾、钠、钙水平</w:t>
      </w:r>
    </w:p>
    <w:p w14:paraId="27E84FC8">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C.警惕利尿剂抵抗或肾前性损伤</w:t>
      </w:r>
    </w:p>
    <w:p w14:paraId="40F29E61">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0FA7CDF7">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p>
    <w:p w14:paraId="06308A06">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3.使用洋地黄类强心药时，护理人员应重点观察的中毒先兆是（ ）。</w:t>
      </w:r>
    </w:p>
    <w:p w14:paraId="38C38329">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A.恶心、呕吐</w:t>
      </w:r>
    </w:p>
    <w:p w14:paraId="2738FD19">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B.黄视、绿视</w:t>
      </w:r>
    </w:p>
    <w:p w14:paraId="534AE328">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C.新发心律失常</w:t>
      </w:r>
    </w:p>
    <w:p w14:paraId="1BAB6A3E">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18381078">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4.容量管理中，判断CRS患者容量状态的核心指标是（ ）。</w:t>
      </w:r>
    </w:p>
    <w:p w14:paraId="652E0EB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A.血压</w:t>
      </w:r>
    </w:p>
    <w:p w14:paraId="2579C99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B.体重</w:t>
      </w:r>
    </w:p>
    <w:p w14:paraId="2B943A41">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C.水肿程度</w:t>
      </w:r>
    </w:p>
    <w:p w14:paraId="37AE764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5F573273">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5.对于容量及血压控制达标的CRS患者，每日钠摄入量应低于（ ）。</w:t>
      </w:r>
    </w:p>
    <w:p w14:paraId="7983C2B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A.1g</w:t>
      </w:r>
    </w:p>
    <w:p w14:paraId="1A007E0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B.2g</w:t>
      </w:r>
    </w:p>
    <w:p w14:paraId="4E8905AC">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C.5g</w:t>
      </w:r>
    </w:p>
    <w:p w14:paraId="1E646D00">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D.10g</w:t>
      </w:r>
    </w:p>
    <w:p w14:paraId="048DB885">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6.CRS患者营养支持效果的评估指标包括（ ）。</w:t>
      </w:r>
    </w:p>
    <w:p w14:paraId="2346CDB4">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A.总蛋白</w:t>
      </w:r>
    </w:p>
    <w:p w14:paraId="0F181F8C">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B.白蛋白</w:t>
      </w:r>
    </w:p>
    <w:p w14:paraId="4A7E1713">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C.前白蛋白</w:t>
      </w:r>
    </w:p>
    <w:p w14:paraId="7FCA222D">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7D10995A">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7.心理护理中，帮助患者重建疾病掌控感的有效措施是（ ）。</w:t>
      </w:r>
    </w:p>
    <w:p w14:paraId="47625296">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A.主动倾听患者对晕厥的恐惧</w:t>
      </w:r>
    </w:p>
    <w:p w14:paraId="436D328A">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B.将抽象疗效转化为可见体征</w:t>
      </w:r>
    </w:p>
    <w:p w14:paraId="4D9F618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C.捕捉自我管理进步并给予正向反馈</w:t>
      </w:r>
    </w:p>
    <w:p w14:paraId="14F018D5">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2EA8BEC7">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8.出院随访期间，提示需要调整透析处方的容量变化信号是（ ）。</w:t>
      </w:r>
    </w:p>
    <w:p w14:paraId="5D0379E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A.体重稳定、血压正常</w:t>
      </w:r>
    </w:p>
    <w:p w14:paraId="365FD0DE">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B.低于理想体重伴血压偏低、口干</w:t>
      </w:r>
    </w:p>
    <w:p w14:paraId="061A4AFE">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C.尿量持续增多</w:t>
      </w:r>
    </w:p>
    <w:p w14:paraId="3B32BAD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D.食欲明显改善</w:t>
      </w:r>
    </w:p>
    <w:p w14:paraId="3552BD3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9.关于CRS患者的透析超滤管理，下列描述正确的是（ ）。</w:t>
      </w:r>
    </w:p>
    <w:p w14:paraId="39CDFDC5">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A.配合血液净化治疗时需控制超滤率，避免过快导致低血压</w:t>
      </w:r>
    </w:p>
    <w:p w14:paraId="18153DFF">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B.透析间期应强化液体入量管理</w:t>
      </w:r>
    </w:p>
    <w:p w14:paraId="4440D70E">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C.超滤过程中需监测血压及心率变化</w:t>
      </w:r>
    </w:p>
    <w:p w14:paraId="602943AD">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D.以上都是</w:t>
      </w:r>
    </w:p>
    <w:p w14:paraId="41EC0A5B">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10.病情监测中，CRS患者的血氧饱和度（SpO</w:t>
      </w:r>
      <w:r>
        <w:rPr>
          <w:rFonts w:hint="eastAsia" w:ascii="仿宋_GB2312" w:hAnsi="仿宋_GB2312" w:eastAsia="仿宋_GB2312" w:cs="仿宋_GB2312"/>
          <w:b w:val="0"/>
          <w:bCs w:val="0"/>
          <w:color w:val="auto"/>
          <w:kern w:val="0"/>
          <w:sz w:val="32"/>
          <w:szCs w:val="32"/>
          <w:vertAlign w:val="subscript"/>
          <w:lang w:val="en-US" w:eastAsia="zh-CN" w:bidi="ar"/>
        </w:rPr>
        <w:t>2</w:t>
      </w:r>
      <w:r>
        <w:rPr>
          <w:rFonts w:hint="eastAsia" w:ascii="仿宋_GB2312" w:hAnsi="仿宋_GB2312" w:eastAsia="仿宋_GB2312" w:cs="仿宋_GB2312"/>
          <w:b w:val="0"/>
          <w:bCs w:val="0"/>
          <w:color w:val="auto"/>
          <w:kern w:val="0"/>
          <w:sz w:val="32"/>
          <w:szCs w:val="32"/>
          <w:lang w:val="en-US" w:eastAsia="zh-CN" w:bidi="ar"/>
        </w:rPr>
        <w:t>）目标范围是（ ）。</w:t>
      </w:r>
    </w:p>
    <w:p w14:paraId="6E60C85C">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A.90%～92%</w:t>
      </w:r>
    </w:p>
    <w:p w14:paraId="162C6F4C">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B.92%～94%</w:t>
      </w:r>
    </w:p>
    <w:p w14:paraId="5DE4EEC2">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C.94%～96%</w:t>
      </w:r>
    </w:p>
    <w:p w14:paraId="0602DF89">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en-US" w:eastAsia="zh-CN" w:bidi="ar"/>
        </w:rPr>
        <w:t>D.96%～100%</w:t>
      </w:r>
    </w:p>
    <w:p w14:paraId="50DA4513">
      <w:pPr>
        <w:keepNext w:val="0"/>
        <w:keepLines w:val="0"/>
        <w:widowControl/>
        <w:suppressLineNumbers w:val="0"/>
        <w:spacing w:line="360" w:lineRule="auto"/>
        <w:ind w:firstLine="480" w:firstLineChars="200"/>
        <w:jc w:val="both"/>
        <w:rPr>
          <w:rFonts w:hint="eastAsia" w:ascii="宋体" w:hAnsi="宋体" w:eastAsia="宋体" w:cs="宋体"/>
          <w:b w:val="0"/>
          <w:bCs w:val="0"/>
          <w:color w:val="auto"/>
          <w:kern w:val="0"/>
          <w:sz w:val="24"/>
          <w:szCs w:val="24"/>
          <w:lang w:val="en-US" w:eastAsia="zh-CN" w:bidi="ar"/>
        </w:rPr>
      </w:pPr>
    </w:p>
    <w:p w14:paraId="5D143B65">
      <w:pPr>
        <w:keepNext w:val="0"/>
        <w:keepLines w:val="0"/>
        <w:widowControl/>
        <w:suppressLineNumbers w:val="0"/>
        <w:spacing w:line="360" w:lineRule="auto"/>
        <w:ind w:firstLine="482" w:firstLineChars="200"/>
        <w:jc w:val="both"/>
        <w:rPr>
          <w:rFonts w:hint="eastAsia" w:ascii="宋体" w:hAnsi="宋体" w:eastAsia="宋体" w:cs="宋体"/>
          <w:b/>
          <w:bCs/>
          <w:color w:val="auto"/>
          <w:kern w:val="0"/>
          <w:sz w:val="24"/>
          <w:szCs w:val="24"/>
          <w:lang w:val="en-US" w:eastAsia="zh-CN" w:bidi="ar"/>
        </w:rPr>
      </w:pPr>
      <w:bookmarkStart w:id="0" w:name="_GoBack"/>
      <w:bookmarkEnd w:id="0"/>
    </w:p>
    <w:sectPr>
      <w:pgSz w:w="11906" w:h="16838"/>
      <w:pgMar w:top="1814" w:right="1587" w:bottom="1701" w:left="1587"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25E5D"/>
    <w:multiLevelType w:val="singleLevel"/>
    <w:tmpl w:val="9B825E5D"/>
    <w:lvl w:ilvl="0" w:tentative="0">
      <w:start w:val="1"/>
      <w:numFmt w:val="decimal"/>
      <w:lvlText w:val="%1."/>
      <w:lvlJc w:val="left"/>
      <w:pPr>
        <w:tabs>
          <w:tab w:val="left" w:pos="312"/>
        </w:tabs>
      </w:pPr>
    </w:lvl>
  </w:abstractNum>
  <w:abstractNum w:abstractNumId="1">
    <w:nsid w:val="D07A34E0"/>
    <w:multiLevelType w:val="singleLevel"/>
    <w:tmpl w:val="D07A34E0"/>
    <w:lvl w:ilvl="0" w:tentative="0">
      <w:start w:val="15"/>
      <w:numFmt w:val="chineseCounting"/>
      <w:suff w:val="space"/>
      <w:lvlText w:val="第%1讲"/>
      <w:lvlJc w:val="left"/>
      <w:rPr>
        <w:rFonts w:hint="eastAsia"/>
      </w:rPr>
    </w:lvl>
  </w:abstractNum>
  <w:abstractNum w:abstractNumId="2">
    <w:nsid w:val="29D77859"/>
    <w:multiLevelType w:val="singleLevel"/>
    <w:tmpl w:val="29D77859"/>
    <w:lvl w:ilvl="0" w:tentative="0">
      <w:start w:val="4"/>
      <w:numFmt w:val="chineseCounting"/>
      <w:suff w:val="nothing"/>
      <w:lvlText w:val="%1、"/>
      <w:lvlJc w:val="left"/>
      <w:rPr>
        <w:rFonts w:hint="eastAsia"/>
      </w:rPr>
    </w:lvl>
  </w:abstractNum>
  <w:abstractNum w:abstractNumId="3">
    <w:nsid w:val="2EF1D9AD"/>
    <w:multiLevelType w:val="singleLevel"/>
    <w:tmpl w:val="2EF1D9AD"/>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265DE0"/>
    <w:rsid w:val="001F7A5A"/>
    <w:rsid w:val="017165B7"/>
    <w:rsid w:val="017F6D8E"/>
    <w:rsid w:val="031D72E1"/>
    <w:rsid w:val="03455F4E"/>
    <w:rsid w:val="037709BE"/>
    <w:rsid w:val="049423ED"/>
    <w:rsid w:val="04AE404F"/>
    <w:rsid w:val="06E60D29"/>
    <w:rsid w:val="074848A9"/>
    <w:rsid w:val="079473A5"/>
    <w:rsid w:val="0804349D"/>
    <w:rsid w:val="088B173D"/>
    <w:rsid w:val="09554DE5"/>
    <w:rsid w:val="0A086CFC"/>
    <w:rsid w:val="0A797AE8"/>
    <w:rsid w:val="0B8E57A5"/>
    <w:rsid w:val="0CE46A45"/>
    <w:rsid w:val="0CF72B6F"/>
    <w:rsid w:val="0D25147A"/>
    <w:rsid w:val="0D321838"/>
    <w:rsid w:val="0D9A342E"/>
    <w:rsid w:val="0DA91BC0"/>
    <w:rsid w:val="0EE637D2"/>
    <w:rsid w:val="0F272A69"/>
    <w:rsid w:val="0F7D59F6"/>
    <w:rsid w:val="0F7E6B28"/>
    <w:rsid w:val="12743F93"/>
    <w:rsid w:val="13D32473"/>
    <w:rsid w:val="1710187D"/>
    <w:rsid w:val="17207739"/>
    <w:rsid w:val="173E5EB1"/>
    <w:rsid w:val="17F433D0"/>
    <w:rsid w:val="188A0A95"/>
    <w:rsid w:val="18975082"/>
    <w:rsid w:val="195C76F5"/>
    <w:rsid w:val="19896215"/>
    <w:rsid w:val="1A0F1779"/>
    <w:rsid w:val="1A255D39"/>
    <w:rsid w:val="1A437375"/>
    <w:rsid w:val="1A935928"/>
    <w:rsid w:val="1AE22124"/>
    <w:rsid w:val="1B416BA3"/>
    <w:rsid w:val="1B613804"/>
    <w:rsid w:val="1BD82632"/>
    <w:rsid w:val="1D352481"/>
    <w:rsid w:val="1DD942EA"/>
    <w:rsid w:val="1F40017A"/>
    <w:rsid w:val="1F435D1C"/>
    <w:rsid w:val="1F7C7B35"/>
    <w:rsid w:val="212A2260"/>
    <w:rsid w:val="22BC6C07"/>
    <w:rsid w:val="23343401"/>
    <w:rsid w:val="24994137"/>
    <w:rsid w:val="25602167"/>
    <w:rsid w:val="26F21DD1"/>
    <w:rsid w:val="271909D4"/>
    <w:rsid w:val="27970BC2"/>
    <w:rsid w:val="2873168C"/>
    <w:rsid w:val="29E6295C"/>
    <w:rsid w:val="2A64461A"/>
    <w:rsid w:val="2AD2014A"/>
    <w:rsid w:val="2D0568E8"/>
    <w:rsid w:val="2D3E3526"/>
    <w:rsid w:val="2F950E14"/>
    <w:rsid w:val="308C27FA"/>
    <w:rsid w:val="3325107A"/>
    <w:rsid w:val="33AA098C"/>
    <w:rsid w:val="35521BC3"/>
    <w:rsid w:val="35E23FDD"/>
    <w:rsid w:val="35F52493"/>
    <w:rsid w:val="37F8614E"/>
    <w:rsid w:val="38222A28"/>
    <w:rsid w:val="38F64975"/>
    <w:rsid w:val="3BC86CFC"/>
    <w:rsid w:val="3C273E39"/>
    <w:rsid w:val="3C55620A"/>
    <w:rsid w:val="3CD817E2"/>
    <w:rsid w:val="3D4E6C9B"/>
    <w:rsid w:val="3EAA3817"/>
    <w:rsid w:val="40B9643E"/>
    <w:rsid w:val="40F409AC"/>
    <w:rsid w:val="41131099"/>
    <w:rsid w:val="436752BB"/>
    <w:rsid w:val="43911EEB"/>
    <w:rsid w:val="44BC4C26"/>
    <w:rsid w:val="459C3244"/>
    <w:rsid w:val="46944118"/>
    <w:rsid w:val="47125829"/>
    <w:rsid w:val="47A81209"/>
    <w:rsid w:val="495F006C"/>
    <w:rsid w:val="497A3FDE"/>
    <w:rsid w:val="4A5B288E"/>
    <w:rsid w:val="4BA233DD"/>
    <w:rsid w:val="4DC614FB"/>
    <w:rsid w:val="4EEA6052"/>
    <w:rsid w:val="4F4C59EC"/>
    <w:rsid w:val="50672CDB"/>
    <w:rsid w:val="510C4885"/>
    <w:rsid w:val="5382777D"/>
    <w:rsid w:val="53BC2CEE"/>
    <w:rsid w:val="5550118A"/>
    <w:rsid w:val="55601F1F"/>
    <w:rsid w:val="563279C4"/>
    <w:rsid w:val="58F168F1"/>
    <w:rsid w:val="5C7358D8"/>
    <w:rsid w:val="5CA11989"/>
    <w:rsid w:val="5DD45E47"/>
    <w:rsid w:val="5F3C1AB6"/>
    <w:rsid w:val="5F3F4450"/>
    <w:rsid w:val="5F600186"/>
    <w:rsid w:val="603515AA"/>
    <w:rsid w:val="6037026B"/>
    <w:rsid w:val="60715D1F"/>
    <w:rsid w:val="6082700E"/>
    <w:rsid w:val="60E008A9"/>
    <w:rsid w:val="62EB3711"/>
    <w:rsid w:val="62F357D6"/>
    <w:rsid w:val="638A3ADA"/>
    <w:rsid w:val="643F32F0"/>
    <w:rsid w:val="69996A9C"/>
    <w:rsid w:val="6B4B44CD"/>
    <w:rsid w:val="6B930BEB"/>
    <w:rsid w:val="6B9C0010"/>
    <w:rsid w:val="6CED1BC3"/>
    <w:rsid w:val="6E215CE2"/>
    <w:rsid w:val="6E265DE0"/>
    <w:rsid w:val="6F33219C"/>
    <w:rsid w:val="6FBC4050"/>
    <w:rsid w:val="73A11AE1"/>
    <w:rsid w:val="73E333A9"/>
    <w:rsid w:val="74C23D1D"/>
    <w:rsid w:val="75931266"/>
    <w:rsid w:val="75A41FB2"/>
    <w:rsid w:val="78803022"/>
    <w:rsid w:val="7A7C5C51"/>
    <w:rsid w:val="7BC82AD2"/>
    <w:rsid w:val="7DEA43B4"/>
    <w:rsid w:val="7FFF1C6E"/>
    <w:rsid w:val="EBD7C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4122</Words>
  <Characters>4426</Characters>
  <Lines>0</Lines>
  <Paragraphs>0</Paragraphs>
  <TotalTime>6</TotalTime>
  <ScaleCrop>false</ScaleCrop>
  <LinksUpToDate>false</LinksUpToDate>
  <CharactersWithSpaces>4470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2026-02-26T22:47:00Z</dcterms:created>
  <dc:creator>WPS_1626162558</dc:creator>
  <cp:lastModifiedBy>轻舞飞扬</cp:lastModifiedBy>
  <dcterms:modified xsi:type="dcterms:W3CDTF">2026-07-08T03:08:13Z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29E19D65115448C586A28D796E4D967B_13</vt:lpwstr>
  </property>
  <property fmtid="{D5CDD505-2E9C-101B-9397-08002B2CF9AE}" pid="4" name="KSOTemplateDocerSaveRecord">
    <vt:lpwstr>eyJoZGlkIjoiODBmNTMzZjkzYzI0YjY0ZTVkNDZkMTM4NTY2ZGEwNjciLCJ1c2VySWQiOiI1OTU4NDk1MTUifQ==</vt:lpwstr>
  </property>
</Properties>
</file>